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6F1" w:rsidRDefault="008B56F1" w:rsidP="008B56F1">
      <w:pPr>
        <w:rPr>
          <w:b/>
          <w:i/>
          <w:sz w:val="24"/>
        </w:rPr>
      </w:pPr>
      <w:bookmarkStart w:id="0" w:name="_GoBack"/>
      <w:bookmarkEnd w:id="0"/>
      <w:r w:rsidRPr="00D812D4">
        <w:rPr>
          <w:noProof/>
          <w:lang w:eastAsia="it-IT" w:bidi="ar-SA"/>
        </w:rPr>
        <w:drawing>
          <wp:inline distT="0" distB="0" distL="0" distR="0" wp14:anchorId="4A2D3D4F" wp14:editId="4495EA79">
            <wp:extent cx="5615940" cy="17145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6F1" w:rsidRDefault="008B56F1" w:rsidP="008B56F1">
      <w:pPr>
        <w:rPr>
          <w:b/>
          <w:i/>
          <w:sz w:val="24"/>
        </w:rPr>
      </w:pPr>
      <w:r>
        <w:rPr>
          <w:b/>
          <w:i/>
          <w:sz w:val="24"/>
        </w:rPr>
        <w:t>www.regione.umbria.it</w:t>
      </w:r>
    </w:p>
    <w:p w:rsidR="008B56F1" w:rsidRDefault="008B56F1" w:rsidP="008B56F1">
      <w:pPr>
        <w:rPr>
          <w:b/>
          <w:i/>
          <w:sz w:val="24"/>
        </w:rPr>
      </w:pPr>
    </w:p>
    <w:p w:rsidR="008B56F1" w:rsidRPr="008B56F1" w:rsidRDefault="008B56F1" w:rsidP="008B56F1">
      <w:pPr>
        <w:widowControl/>
        <w:shd w:val="clear" w:color="auto" w:fill="FFFFFF"/>
        <w:textAlignment w:val="baseline"/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</w:pPr>
      <w:r w:rsidRPr="008B56F1">
        <w:rPr>
          <w:rFonts w:ascii="Arial" w:eastAsia="Times New Roman" w:hAnsi="Arial" w:cs="Arial"/>
          <w:b/>
          <w:bCs/>
          <w:color w:val="808080"/>
          <w:kern w:val="0"/>
          <w:sz w:val="27"/>
          <w:szCs w:val="27"/>
          <w:bdr w:val="none" w:sz="0" w:space="0" w:color="auto" w:frame="1"/>
          <w:lang w:eastAsia="it-IT" w:bidi="ar-SA"/>
        </w:rPr>
        <w:t>Finanziato dal P.O.R. Programma Operativo Regionale F.S.E. (Fondo Sociale Europeo) Umbria 2014-2020 Asse “Inclusione sociale e lotta alla povertà” Priorità di investimento 9.4 – R.A. 9.3</w:t>
      </w:r>
      <w:r w:rsidRPr="008B56F1">
        <w:rPr>
          <w:rFonts w:ascii="Arial" w:eastAsia="Times New Roman" w:hAnsi="Arial" w:cs="Arial"/>
          <w:b/>
          <w:bCs/>
          <w:color w:val="808080"/>
          <w:kern w:val="0"/>
          <w:sz w:val="27"/>
          <w:szCs w:val="27"/>
          <w:bdr w:val="none" w:sz="0" w:space="0" w:color="auto" w:frame="1"/>
          <w:lang w:eastAsia="it-IT" w:bidi="ar-SA"/>
        </w:rPr>
        <w:br/>
      </w:r>
      <w:r w:rsidRPr="008B56F1">
        <w:rPr>
          <w:rFonts w:ascii="Arial" w:eastAsia="Times New Roman" w:hAnsi="Arial" w:cs="Arial"/>
          <w:b/>
          <w:bCs/>
          <w:color w:val="808080"/>
          <w:kern w:val="0"/>
          <w:sz w:val="27"/>
          <w:szCs w:val="27"/>
          <w:bdr w:val="none" w:sz="0" w:space="0" w:color="auto" w:frame="1"/>
          <w:lang w:eastAsia="it-IT" w:bidi="ar-SA"/>
        </w:rPr>
        <w:br/>
      </w:r>
    </w:p>
    <w:p w:rsidR="008B56F1" w:rsidRDefault="008B56F1" w:rsidP="008B56F1">
      <w:pPr>
        <w:widowControl/>
        <w:shd w:val="clear" w:color="auto" w:fill="FFFFFF"/>
        <w:textAlignment w:val="baseline"/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</w:pPr>
      <w:r w:rsidRPr="008B56F1"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  <w:t xml:space="preserve">Il Comune di </w:t>
      </w:r>
      <w:r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  <w:t>Orvieto</w:t>
      </w:r>
      <w:r w:rsidRPr="008B56F1"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  <w:t xml:space="preserve"> in qualità di Comune capofila della Zona sociale n. </w:t>
      </w:r>
      <w:r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  <w:t>12</w:t>
      </w:r>
      <w:r w:rsidRPr="008B56F1"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  <w:t xml:space="preserve">, intende acquisire manifestazioni d’interesse da parte di esercizi commerciali per la vendita al dettaglio di apparecchiature informatiche, unità periferiche, software e per le telecomunicazioni (ICT), operanti nei Comuni ricompresi nella Zona sociale n. </w:t>
      </w:r>
      <w:r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  <w:t xml:space="preserve">12 </w:t>
      </w:r>
      <w:r w:rsidRPr="008B56F1"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  <w:t xml:space="preserve">quali: </w:t>
      </w:r>
      <w:r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  <w:t>Allerona, Baschi, Castel Giorgio, Castel Viscardo, Fabro, Ficulle, Montecchio, Montegabbione, Monteleone d’Orvieto, Orvieto, Parrano e Porano</w:t>
      </w:r>
      <w:r w:rsidRPr="008B56F1"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  <w:t xml:space="preserve"> ai fini dell’iscrizione in un elenco zonale di esercizi commerciali disponibili ad accettare i buoni di cui </w:t>
      </w:r>
      <w:r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  <w:t>all’Avviso Pubblico “Family tech”</w:t>
      </w:r>
      <w:r w:rsidR="00FB6DF7"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  <w:t>contributi a famiglie per l’acquisto o il noleggio di strumentazione tecnologica utile per l’accesso a servizi socio-educativi, ludico- ricreativi e socio-assistenziali.</w:t>
      </w:r>
    </w:p>
    <w:p w:rsidR="008B56F1" w:rsidRDefault="008B56F1" w:rsidP="008B56F1">
      <w:pPr>
        <w:widowControl/>
        <w:shd w:val="clear" w:color="auto" w:fill="FFFFFF"/>
        <w:textAlignment w:val="baseline"/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</w:pPr>
    </w:p>
    <w:p w:rsidR="008B56F1" w:rsidRPr="008B56F1" w:rsidRDefault="008B56F1" w:rsidP="008B56F1">
      <w:pPr>
        <w:widowControl/>
        <w:shd w:val="clear" w:color="auto" w:fill="FFFFFF"/>
        <w:textAlignment w:val="baseline"/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</w:pPr>
      <w:r w:rsidRPr="008B56F1"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  <w:t>I beneficiari del contributo Famil</w:t>
      </w:r>
      <w:r w:rsidR="00FB6DF7"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  <w:t>y Tech potranno rivolgersi pre</w:t>
      </w:r>
      <w:r w:rsidRPr="008B56F1"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  <w:t>sso gli operatori economici iscritti nel citato elenco e utilizzare il buono per il noleggio o l’acquisto della predetta strumentazione. </w:t>
      </w:r>
      <w:r w:rsidRPr="008B56F1"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  <w:br/>
      </w:r>
    </w:p>
    <w:p w:rsidR="008B56F1" w:rsidRPr="008B56F1" w:rsidRDefault="008B56F1" w:rsidP="008B56F1">
      <w:pPr>
        <w:widowControl/>
        <w:shd w:val="clear" w:color="auto" w:fill="FFFFFF"/>
        <w:textAlignment w:val="baseline"/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</w:pPr>
      <w:r w:rsidRPr="008B56F1"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  <w:br/>
      </w:r>
      <w:r w:rsidRPr="008B56F1">
        <w:rPr>
          <w:rFonts w:ascii="Arial" w:eastAsia="Times New Roman" w:hAnsi="Arial" w:cs="Arial"/>
          <w:b/>
          <w:bCs/>
          <w:color w:val="596672"/>
          <w:kern w:val="0"/>
          <w:sz w:val="27"/>
          <w:szCs w:val="27"/>
          <w:lang w:eastAsia="it-IT" w:bidi="ar-SA"/>
        </w:rPr>
        <w:t>Chi può accedere al servizio</w:t>
      </w:r>
    </w:p>
    <w:p w:rsidR="008B56F1" w:rsidRPr="008B56F1" w:rsidRDefault="008B56F1" w:rsidP="008B56F1">
      <w:pPr>
        <w:widowControl/>
        <w:shd w:val="clear" w:color="auto" w:fill="FFFFFF"/>
        <w:textAlignment w:val="baseline"/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</w:pPr>
      <w:r w:rsidRPr="008B56F1"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  <w:t xml:space="preserve">Possono presentare richiesta di iscrizione all’elenco di cui al presente avviso gli esercenti attività commerciali per la vendita al dettaglio di apparecchiature informatiche (es. computer, tablet, unità periferiche, software e per le telecomunicazioni (ICT) (es. internet, reti wireless ecc.) aventi sede operativa in uno dei Comuni ricompresi nella Zona sociale n. </w:t>
      </w:r>
      <w:r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  <w:t>12</w:t>
      </w:r>
      <w:r w:rsidRPr="008B56F1"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  <w:t xml:space="preserve">, quali:. </w:t>
      </w:r>
      <w:r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  <w:t>Allerona, Baschi, Castel Giorgio, Castel Viscardo, Fabro, Ficulle, Montecchio, Montegabbione, Monteleone d’Orvieto, Orvieto, Parrano e Porano</w:t>
      </w:r>
    </w:p>
    <w:p w:rsidR="008B56F1" w:rsidRPr="008B56F1" w:rsidRDefault="008B56F1" w:rsidP="008B56F1">
      <w:pPr>
        <w:widowControl/>
        <w:shd w:val="clear" w:color="auto" w:fill="FFFFFF"/>
        <w:textAlignment w:val="baseline"/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</w:pPr>
      <w:r w:rsidRPr="008B56F1"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  <w:br/>
      </w:r>
      <w:r w:rsidRPr="008B56F1">
        <w:rPr>
          <w:rFonts w:ascii="Arial" w:eastAsia="Times New Roman" w:hAnsi="Arial" w:cs="Arial"/>
          <w:b/>
          <w:bCs/>
          <w:color w:val="596672"/>
          <w:kern w:val="0"/>
          <w:sz w:val="27"/>
          <w:szCs w:val="27"/>
          <w:lang w:eastAsia="it-IT" w:bidi="ar-SA"/>
        </w:rPr>
        <w:t>Modalità della richiesta</w:t>
      </w:r>
    </w:p>
    <w:p w:rsidR="008B56F1" w:rsidRPr="008B56F1" w:rsidRDefault="008B56F1" w:rsidP="008B56F1">
      <w:pPr>
        <w:widowControl/>
        <w:shd w:val="clear" w:color="auto" w:fill="FFFFFF"/>
        <w:textAlignment w:val="baseline"/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</w:pPr>
      <w:r w:rsidRPr="008B56F1"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  <w:t>La domanda di iscrizione all’elenco deve essere presentata dal legale rappresentante/titolare o delegati dell'esercizio com</w:t>
      </w:r>
      <w:r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  <w:t>merciale a partire dal giorno 28</w:t>
      </w:r>
      <w:r w:rsidRPr="008B56F1"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  <w:t>/11/2020, utilizzando l'apposito modello di adesione.</w:t>
      </w:r>
      <w:r w:rsidRPr="008B56F1"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  <w:br/>
        <w:t xml:space="preserve">La domanda, debitamente sottoscritta e completa in ogni sua parte a pena di </w:t>
      </w:r>
      <w:r w:rsidRPr="008B56F1"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  <w:lastRenderedPageBreak/>
        <w:t>inammissibilità, dovrà essere trasmessa a mezzo posta elettronica certificat</w:t>
      </w:r>
      <w:r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  <w:t>a al seguente indirizzo comune.orvieto</w:t>
      </w:r>
      <w:r w:rsidRPr="008B56F1"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  <w:t>@postacert.umbria.it.</w:t>
      </w:r>
    </w:p>
    <w:p w:rsidR="008B56F1" w:rsidRPr="008B56F1" w:rsidRDefault="008B56F1" w:rsidP="008B56F1">
      <w:pPr>
        <w:widowControl/>
        <w:shd w:val="clear" w:color="auto" w:fill="FFFFFF"/>
        <w:textAlignment w:val="baseline"/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</w:pPr>
    </w:p>
    <w:p w:rsidR="008B56F1" w:rsidRDefault="008B56F1" w:rsidP="008B56F1">
      <w:pPr>
        <w:jc w:val="right"/>
        <w:rPr>
          <w:rFonts w:eastAsia="Times New Roman"/>
          <w:sz w:val="24"/>
        </w:rPr>
      </w:pPr>
      <w:r>
        <w:tab/>
      </w:r>
      <w:r>
        <w:tab/>
      </w:r>
      <w:r>
        <w:tab/>
      </w:r>
    </w:p>
    <w:p w:rsidR="008B56F1" w:rsidRDefault="008B56F1" w:rsidP="008B56F1">
      <w:pPr>
        <w:widowControl/>
        <w:autoSpaceDE w:val="0"/>
        <w:autoSpaceDN w:val="0"/>
        <w:adjustRightInd w:val="0"/>
        <w:spacing w:after="18"/>
        <w:rPr>
          <w:color w:val="000000"/>
          <w:sz w:val="24"/>
        </w:rPr>
      </w:pPr>
    </w:p>
    <w:p w:rsidR="008B56F1" w:rsidRDefault="008B56F1" w:rsidP="008B56F1">
      <w:pPr>
        <w:widowControl/>
        <w:autoSpaceDE w:val="0"/>
        <w:autoSpaceDN w:val="0"/>
        <w:adjustRightInd w:val="0"/>
        <w:spacing w:after="18"/>
        <w:rPr>
          <w:color w:val="000000"/>
          <w:sz w:val="24"/>
        </w:rPr>
      </w:pPr>
    </w:p>
    <w:p w:rsidR="008B56F1" w:rsidRDefault="008B56F1" w:rsidP="008B56F1">
      <w:pPr>
        <w:widowControl/>
        <w:autoSpaceDE w:val="0"/>
        <w:autoSpaceDN w:val="0"/>
        <w:adjustRightInd w:val="0"/>
        <w:spacing w:after="18"/>
        <w:rPr>
          <w:color w:val="000000"/>
          <w:sz w:val="24"/>
        </w:rPr>
      </w:pPr>
    </w:p>
    <w:p w:rsidR="008B56F1" w:rsidRDefault="008B56F1" w:rsidP="008B56F1">
      <w:pPr>
        <w:widowControl/>
        <w:autoSpaceDE w:val="0"/>
        <w:autoSpaceDN w:val="0"/>
        <w:adjustRightInd w:val="0"/>
        <w:spacing w:after="18"/>
        <w:rPr>
          <w:color w:val="000000"/>
          <w:sz w:val="24"/>
        </w:rPr>
      </w:pPr>
    </w:p>
    <w:p w:rsidR="008B56F1" w:rsidRDefault="008B56F1" w:rsidP="008B56F1">
      <w:pPr>
        <w:widowControl/>
        <w:autoSpaceDE w:val="0"/>
        <w:autoSpaceDN w:val="0"/>
        <w:adjustRightInd w:val="0"/>
        <w:spacing w:after="18"/>
        <w:rPr>
          <w:color w:val="000000"/>
          <w:sz w:val="24"/>
        </w:rPr>
      </w:pPr>
    </w:p>
    <w:p w:rsidR="00E2215E" w:rsidRDefault="00E2215E"/>
    <w:sectPr w:rsidR="00E2215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1CE" w:rsidRDefault="001101CE" w:rsidP="008B56F1">
      <w:r>
        <w:separator/>
      </w:r>
    </w:p>
  </w:endnote>
  <w:endnote w:type="continuationSeparator" w:id="0">
    <w:p w:rsidR="001101CE" w:rsidRDefault="001101CE" w:rsidP="008B5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6F1" w:rsidRDefault="008B56F1" w:rsidP="008B56F1">
    <w:pPr>
      <w:pStyle w:val="Intestazione"/>
    </w:pPr>
  </w:p>
  <w:p w:rsidR="008B56F1" w:rsidRDefault="008B56F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1CE" w:rsidRDefault="001101CE" w:rsidP="008B56F1">
      <w:r>
        <w:separator/>
      </w:r>
    </w:p>
  </w:footnote>
  <w:footnote w:type="continuationSeparator" w:id="0">
    <w:p w:rsidR="001101CE" w:rsidRDefault="001101CE" w:rsidP="008B5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6F1" w:rsidRDefault="008B56F1" w:rsidP="008B56F1">
    <w:pPr>
      <w:pStyle w:val="Intestazione"/>
    </w:pPr>
  </w:p>
  <w:p w:rsidR="008B56F1" w:rsidRDefault="008B56F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B0A4D"/>
    <w:multiLevelType w:val="hybridMultilevel"/>
    <w:tmpl w:val="BDEE06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02C7C"/>
    <w:multiLevelType w:val="hybridMultilevel"/>
    <w:tmpl w:val="D6700FC4"/>
    <w:lvl w:ilvl="0" w:tplc="7A5E0CA0">
      <w:start w:val="1"/>
      <w:numFmt w:val="decimal"/>
      <w:lvlText w:val="%1)"/>
      <w:lvlJc w:val="left"/>
      <w:pPr>
        <w:ind w:left="420" w:hanging="360"/>
      </w:p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>
      <w:start w:val="1"/>
      <w:numFmt w:val="lowerRoman"/>
      <w:lvlText w:val="%3."/>
      <w:lvlJc w:val="right"/>
      <w:pPr>
        <w:ind w:left="1860" w:hanging="180"/>
      </w:pPr>
    </w:lvl>
    <w:lvl w:ilvl="3" w:tplc="0410000F">
      <w:start w:val="1"/>
      <w:numFmt w:val="decimal"/>
      <w:lvlText w:val="%4."/>
      <w:lvlJc w:val="left"/>
      <w:pPr>
        <w:ind w:left="2580" w:hanging="360"/>
      </w:pPr>
    </w:lvl>
    <w:lvl w:ilvl="4" w:tplc="04100019">
      <w:start w:val="1"/>
      <w:numFmt w:val="lowerLetter"/>
      <w:lvlText w:val="%5."/>
      <w:lvlJc w:val="left"/>
      <w:pPr>
        <w:ind w:left="3300" w:hanging="360"/>
      </w:pPr>
    </w:lvl>
    <w:lvl w:ilvl="5" w:tplc="0410001B">
      <w:start w:val="1"/>
      <w:numFmt w:val="lowerRoman"/>
      <w:lvlText w:val="%6."/>
      <w:lvlJc w:val="right"/>
      <w:pPr>
        <w:ind w:left="4020" w:hanging="180"/>
      </w:pPr>
    </w:lvl>
    <w:lvl w:ilvl="6" w:tplc="0410000F">
      <w:start w:val="1"/>
      <w:numFmt w:val="decimal"/>
      <w:lvlText w:val="%7."/>
      <w:lvlJc w:val="left"/>
      <w:pPr>
        <w:ind w:left="4740" w:hanging="360"/>
      </w:pPr>
    </w:lvl>
    <w:lvl w:ilvl="7" w:tplc="04100019">
      <w:start w:val="1"/>
      <w:numFmt w:val="lowerLetter"/>
      <w:lvlText w:val="%8."/>
      <w:lvlJc w:val="left"/>
      <w:pPr>
        <w:ind w:left="5460" w:hanging="360"/>
      </w:pPr>
    </w:lvl>
    <w:lvl w:ilvl="8" w:tplc="0410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F1"/>
    <w:rsid w:val="001101CE"/>
    <w:rsid w:val="003126DB"/>
    <w:rsid w:val="006D4850"/>
    <w:rsid w:val="008B56F1"/>
    <w:rsid w:val="00E2215E"/>
    <w:rsid w:val="00FB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55241-E40C-44F0-9D59-9E951CF4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56F1"/>
    <w:pPr>
      <w:widowControl w:val="0"/>
      <w:spacing w:after="0" w:line="240" w:lineRule="auto"/>
      <w:jc w:val="both"/>
    </w:pPr>
    <w:rPr>
      <w:rFonts w:ascii="Calibri" w:eastAsia="SimSun" w:hAnsi="Calibri" w:cs="Lucida Sans"/>
      <w:kern w:val="2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56F1"/>
    <w:pPr>
      <w:tabs>
        <w:tab w:val="center" w:pos="4819"/>
        <w:tab w:val="right" w:pos="9638"/>
      </w:tabs>
    </w:pPr>
    <w:rPr>
      <w:rFonts w:cs="Mang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56F1"/>
    <w:rPr>
      <w:rFonts w:ascii="Calibri" w:eastAsia="SimSun" w:hAnsi="Calibri" w:cs="Mangal"/>
      <w:kern w:val="2"/>
      <w:szCs w:val="2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8B56F1"/>
    <w:pPr>
      <w:tabs>
        <w:tab w:val="center" w:pos="4819"/>
        <w:tab w:val="right" w:pos="9638"/>
      </w:tabs>
    </w:pPr>
    <w:rPr>
      <w:rFonts w:cs="Mang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56F1"/>
    <w:rPr>
      <w:rFonts w:ascii="Calibri" w:eastAsia="SimSun" w:hAnsi="Calibri" w:cs="Mangal"/>
      <w:kern w:val="2"/>
      <w:szCs w:val="24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8B56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alessandra.pica</cp:lastModifiedBy>
  <cp:revision>2</cp:revision>
  <dcterms:created xsi:type="dcterms:W3CDTF">2020-12-04T12:22:00Z</dcterms:created>
  <dcterms:modified xsi:type="dcterms:W3CDTF">2020-12-04T12:22:00Z</dcterms:modified>
</cp:coreProperties>
</file>